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A5D1EFF"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4AC756B0"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2537C6">
        <w:rPr>
          <w:rFonts w:ascii="Times New Roman" w:hAnsi="Times New Roman" w:cs="Times New Roman"/>
          <w:b/>
          <w:sz w:val="24"/>
          <w:szCs w:val="28"/>
        </w:rPr>
        <w:t>3</w:t>
      </w:r>
      <w:r w:rsidRPr="00D831DE">
        <w:rPr>
          <w:rFonts w:ascii="Times New Roman" w:hAnsi="Times New Roman" w:cs="Times New Roman"/>
          <w:b/>
          <w:sz w:val="24"/>
          <w:szCs w:val="28"/>
        </w:rPr>
        <w:t>/AMI/ARULOS/20</w:t>
      </w:r>
      <w:r w:rsidR="002537C6">
        <w:rPr>
          <w:rFonts w:ascii="Times New Roman" w:hAnsi="Times New Roman" w:cs="Times New Roman"/>
          <w:b/>
          <w:sz w:val="24"/>
          <w:szCs w:val="28"/>
        </w:rPr>
        <w:t>21</w:t>
      </w:r>
    </w:p>
    <w:p w14:paraId="38B9C6E4" w14:textId="258504EC" w:rsidR="008F76C9" w:rsidRPr="00853666" w:rsidRDefault="00CC4424" w:rsidP="00537B32">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w:t>
      </w:r>
      <w:bookmarkStart w:id="0" w:name="_Hlk52794563"/>
      <w:r w:rsidR="009D7668" w:rsidRPr="009D7668">
        <w:rPr>
          <w:rFonts w:ascii="Times New Roman" w:hAnsi="Times New Roman" w:cs="Times New Roman"/>
          <w:b/>
          <w:bCs/>
          <w:sz w:val="32"/>
        </w:rPr>
        <w:t xml:space="preserve">pour </w:t>
      </w:r>
      <w:bookmarkEnd w:id="0"/>
      <w:r w:rsidR="002537C6" w:rsidRPr="002537C6">
        <w:rPr>
          <w:rFonts w:ascii="Times New Roman" w:hAnsi="Times New Roman" w:cs="Times New Roman"/>
          <w:b/>
          <w:bCs/>
          <w:sz w:val="32"/>
        </w:rPr>
        <w:t xml:space="preserve">l’étude de restructuration et d’alignement du quartier djebel </w:t>
      </w:r>
      <w:r w:rsidR="002537C6" w:rsidRPr="002537C6">
        <w:rPr>
          <w:rFonts w:ascii="Times New Roman" w:hAnsi="Times New Roman" w:cs="Times New Roman"/>
          <w:b/>
          <w:bCs/>
          <w:sz w:val="32"/>
        </w:rPr>
        <w:tab/>
      </w:r>
    </w:p>
    <w:p w14:paraId="351E94A7" w14:textId="26AF8DD5" w:rsidR="00D831DE" w:rsidRPr="008C6F88" w:rsidRDefault="00CC4424" w:rsidP="002537C6">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un bureau d’études chargé</w:t>
      </w:r>
      <w:r w:rsidR="002537C6">
        <w:rPr>
          <w:rFonts w:ascii="Times New Roman" w:hAnsi="Times New Roman" w:cs="Times New Roman"/>
        </w:rPr>
        <w:t xml:space="preserve"> de</w:t>
      </w:r>
      <w:r w:rsidR="008C6F88" w:rsidRPr="008C6F88">
        <w:rPr>
          <w:rFonts w:ascii="Times New Roman" w:hAnsi="Times New Roman" w:cs="Times New Roman"/>
        </w:rPr>
        <w:t xml:space="preserve"> </w:t>
      </w:r>
      <w:r w:rsidR="002537C6" w:rsidRPr="002537C6">
        <w:rPr>
          <w:rFonts w:ascii="Times New Roman" w:hAnsi="Times New Roman" w:cs="Times New Roman"/>
        </w:rPr>
        <w:t>l’étude de restructuration et d’alignement du quartier djebel</w:t>
      </w:r>
      <w:r w:rsidR="003F3CB9" w:rsidRPr="002537C6">
        <w:rPr>
          <w:rFonts w:ascii="Times New Roman" w:hAnsi="Times New Roman" w:cs="Times New Roman"/>
        </w:rPr>
        <w:t xml:space="preserve"> </w:t>
      </w:r>
      <w:r w:rsidR="00D831DE" w:rsidRPr="008C6F88">
        <w:rPr>
          <w:rFonts w:ascii="Times New Roman" w:hAnsi="Times New Roman" w:cs="Times New Roman"/>
        </w:rPr>
        <w:t>dans le cadre de ce projet. Le projet sera mis en œuvre par l’</w:t>
      </w:r>
      <w:proofErr w:type="spellStart"/>
      <w:r w:rsidR="00D831DE" w:rsidRPr="008C6F88">
        <w:rPr>
          <w:rFonts w:ascii="Times New Roman" w:hAnsi="Times New Roman" w:cs="Times New Roman"/>
        </w:rPr>
        <w:t>ARULoS</w:t>
      </w:r>
      <w:proofErr w:type="spellEnd"/>
      <w:r w:rsidR="00D831DE" w:rsidRPr="008C6F88">
        <w:rPr>
          <w:rFonts w:ascii="Times New Roman" w:hAnsi="Times New Roman" w:cs="Times New Roman"/>
        </w:rPr>
        <w:t>.</w:t>
      </w:r>
    </w:p>
    <w:p w14:paraId="4B8CD5D4" w14:textId="77777777" w:rsidR="00D831DE" w:rsidRPr="00D831DE" w:rsidRDefault="00D831DE" w:rsidP="00E5663D">
      <w:pPr>
        <w:pStyle w:val="Paragraphedeliste"/>
        <w:jc w:val="both"/>
        <w:rPr>
          <w:rFonts w:ascii="Times New Roman" w:hAnsi="Times New Roman" w:cs="Times New Roman"/>
        </w:rPr>
      </w:pPr>
    </w:p>
    <w:p w14:paraId="1CDD98DD" w14:textId="76017D59" w:rsidR="008F76C9" w:rsidRPr="003F7723" w:rsidRDefault="008F76C9" w:rsidP="002537C6">
      <w:pPr>
        <w:pStyle w:val="Paragraphedeliste"/>
        <w:numPr>
          <w:ilvl w:val="0"/>
          <w:numId w:val="4"/>
        </w:numPr>
        <w:tabs>
          <w:tab w:val="left" w:pos="6311"/>
        </w:tabs>
        <w:jc w:val="both"/>
        <w:rPr>
          <w:rFonts w:ascii="Times New Roman" w:hAnsi="Times New Roman" w:cs="Times New Roman"/>
        </w:rPr>
      </w:pPr>
      <w:r w:rsidRPr="003F7723">
        <w:rPr>
          <w:rFonts w:ascii="Times New Roman" w:hAnsi="Times New Roman" w:cs="Times New Roman"/>
        </w:rPr>
        <w:t xml:space="preserve">La présente mission </w:t>
      </w:r>
      <w:r w:rsidR="002537C6" w:rsidRPr="002537C6">
        <w:rPr>
          <w:rFonts w:ascii="Times New Roman" w:hAnsi="Times New Roman" w:cs="Times New Roman"/>
        </w:rPr>
        <w:t>vise à élaborer un plan de restructuration et d’alignement pour le quartier de Djebel avec un parcellaire régulier qui préserve au maximum les habitants sur place en permettant aussi la création d’une trame viaire appropriée s’intégrant pleinement dans le tissu urbain existant</w:t>
      </w:r>
      <w:r w:rsidR="003F3CB9">
        <w:rPr>
          <w:rFonts w:ascii="Times New Roman" w:hAnsi="Times New Roman" w:cs="Times New Roman"/>
        </w:rPr>
        <w:t>.</w:t>
      </w:r>
    </w:p>
    <w:p w14:paraId="48E65F7D" w14:textId="49166878" w:rsidR="003F3CB9" w:rsidRPr="003F3CB9" w:rsidRDefault="002537C6" w:rsidP="003F3CB9">
      <w:pPr>
        <w:autoSpaceDE w:val="0"/>
        <w:autoSpaceDN w:val="0"/>
        <w:adjustRightInd w:val="0"/>
        <w:spacing w:after="120"/>
        <w:jc w:val="both"/>
        <w:rPr>
          <w:rFonts w:ascii="Times New Roman" w:hAnsi="Times New Roman" w:cs="Times New Roman"/>
          <w:bCs/>
        </w:rPr>
      </w:pPr>
      <w:r>
        <w:rPr>
          <w:rFonts w:ascii="Times New Roman" w:hAnsi="Times New Roman" w:cs="Times New Roman"/>
          <w:bCs/>
        </w:rPr>
        <w:t>De façon particulier, l’étude</w:t>
      </w:r>
      <w:r w:rsidR="003F3CB9" w:rsidRPr="003F3CB9">
        <w:rPr>
          <w:rFonts w:ascii="Times New Roman" w:hAnsi="Times New Roman" w:cs="Times New Roman"/>
          <w:bCs/>
        </w:rPr>
        <w:t xml:space="preserve"> doit :</w:t>
      </w:r>
    </w:p>
    <w:p w14:paraId="4C9C9E64" w14:textId="77777777" w:rsidR="002537C6" w:rsidRPr="002537C6" w:rsidRDefault="002537C6" w:rsidP="002537C6">
      <w:pPr>
        <w:spacing w:after="120"/>
        <w:ind w:left="706"/>
        <w:jc w:val="both"/>
        <w:rPr>
          <w:rFonts w:ascii="Times New Roman" w:eastAsia="Calibri" w:hAnsi="Times New Roman" w:cs="Times New Roman"/>
        </w:rPr>
      </w:pPr>
      <w:r w:rsidRPr="002537C6">
        <w:rPr>
          <w:rFonts w:ascii="Times New Roman" w:eastAsia="Calibri" w:hAnsi="Times New Roman" w:cs="Times New Roman"/>
        </w:rPr>
        <w:t>●</w:t>
      </w:r>
      <w:r w:rsidRPr="002537C6">
        <w:rPr>
          <w:rFonts w:ascii="Times New Roman" w:hAnsi="Times New Roman" w:cs="Times New Roman"/>
        </w:rPr>
        <w:t xml:space="preserve"> </w:t>
      </w:r>
      <w:r w:rsidRPr="002537C6">
        <w:rPr>
          <w:rFonts w:ascii="Times New Roman" w:eastAsia="Calibri" w:hAnsi="Times New Roman" w:cs="Times New Roman"/>
        </w:rPr>
        <w:t>maîtriser et harmoniser l’espace urbain de la zone par la planification opérationnelle préventive et curative, objet du « Programme Zéro Bidonville » et préserver ou créer les espaces publics ;</w:t>
      </w:r>
    </w:p>
    <w:p w14:paraId="2F754B74" w14:textId="77777777" w:rsidR="002537C6" w:rsidRPr="002537C6" w:rsidRDefault="002537C6" w:rsidP="002537C6">
      <w:pPr>
        <w:spacing w:after="120"/>
        <w:ind w:left="706"/>
        <w:jc w:val="both"/>
        <w:rPr>
          <w:rFonts w:ascii="Times New Roman" w:eastAsia="Calibri" w:hAnsi="Times New Roman" w:cs="Times New Roman"/>
        </w:rPr>
      </w:pPr>
      <w:r w:rsidRPr="002537C6">
        <w:rPr>
          <w:rFonts w:ascii="Times New Roman" w:eastAsia="Calibri" w:hAnsi="Times New Roman" w:cs="Times New Roman"/>
        </w:rPr>
        <w:t xml:space="preserve">● désenclaver la zone et la rattacher spatialement au reste du tissu urbain régulier de la ville et permettre aux services de la Protection Civile une accessibilité rapide en cas d’incendie notamment en période estivale ; </w:t>
      </w:r>
    </w:p>
    <w:p w14:paraId="7ECF3313" w14:textId="77777777" w:rsidR="002537C6" w:rsidRPr="002537C6" w:rsidRDefault="002537C6" w:rsidP="002537C6">
      <w:pPr>
        <w:ind w:left="705"/>
        <w:jc w:val="both"/>
        <w:rPr>
          <w:rFonts w:ascii="Times New Roman" w:hAnsi="Times New Roman" w:cs="Times New Roman"/>
        </w:rPr>
      </w:pPr>
      <w:r w:rsidRPr="002537C6">
        <w:rPr>
          <w:rFonts w:ascii="Times New Roman" w:eastAsia="Calibri" w:hAnsi="Times New Roman" w:cs="Times New Roman"/>
        </w:rPr>
        <w:t>●</w:t>
      </w:r>
      <w:r w:rsidRPr="002537C6">
        <w:rPr>
          <w:rFonts w:ascii="Times New Roman" w:hAnsi="Times New Roman" w:cs="Times New Roman"/>
        </w:rPr>
        <w:t xml:space="preserve"> faciliter l’accès de la population à la propriété foncière et</w:t>
      </w:r>
      <w:r w:rsidRPr="002537C6">
        <w:rPr>
          <w:rFonts w:ascii="Times New Roman" w:eastAsia="Calibri" w:hAnsi="Times New Roman" w:cs="Times New Roman"/>
        </w:rPr>
        <w:t xml:space="preserve"> la</w:t>
      </w:r>
      <w:r w:rsidRPr="002537C6">
        <w:rPr>
          <w:rFonts w:ascii="Times New Roman" w:hAnsi="Times New Roman" w:cs="Times New Roman"/>
        </w:rPr>
        <w:t xml:space="preserve"> transformation des logements par des matériaux en dur dans le respect d’un plan d’alignement bien élaboré ;</w:t>
      </w:r>
    </w:p>
    <w:p w14:paraId="6DE74919" w14:textId="5C3F7B97" w:rsidR="002537C6" w:rsidRPr="002537C6" w:rsidRDefault="002537C6" w:rsidP="002537C6">
      <w:pPr>
        <w:spacing w:after="120"/>
        <w:ind w:left="706"/>
        <w:jc w:val="both"/>
        <w:rPr>
          <w:rFonts w:ascii="Times New Roman" w:eastAsia="Calibri" w:hAnsi="Times New Roman" w:cs="Times New Roman"/>
        </w:rPr>
      </w:pPr>
      <w:r w:rsidRPr="002537C6">
        <w:rPr>
          <w:rFonts w:ascii="Times New Roman" w:eastAsia="Calibri" w:hAnsi="Times New Roman" w:cs="Times New Roman"/>
        </w:rPr>
        <w:t xml:space="preserve">●améliorer les conditions de vie des habitants par l’accès aux services urbains (eau, </w:t>
      </w:r>
      <w:bookmarkStart w:id="1" w:name="_GoBack"/>
      <w:bookmarkEnd w:id="1"/>
      <w:r w:rsidR="00D73F87" w:rsidRPr="002537C6">
        <w:rPr>
          <w:rFonts w:ascii="Times New Roman" w:eastAsia="Calibri" w:hAnsi="Times New Roman" w:cs="Times New Roman"/>
        </w:rPr>
        <w:t>électricité, assainissement</w:t>
      </w:r>
      <w:r w:rsidRPr="002537C6">
        <w:rPr>
          <w:rFonts w:ascii="Times New Roman" w:eastAsia="Calibri" w:hAnsi="Times New Roman" w:cs="Times New Roman"/>
        </w:rPr>
        <w:t>, gestion de déchets, transport, soins de santé de proximité, etc.) ;</w:t>
      </w:r>
    </w:p>
    <w:p w14:paraId="5CEC452F" w14:textId="77777777" w:rsidR="002537C6" w:rsidRPr="002537C6" w:rsidRDefault="002537C6" w:rsidP="002537C6">
      <w:pPr>
        <w:spacing w:after="120"/>
        <w:ind w:left="706"/>
        <w:jc w:val="both"/>
        <w:rPr>
          <w:rFonts w:ascii="Times New Roman" w:eastAsia="Calibri" w:hAnsi="Times New Roman" w:cs="Times New Roman"/>
        </w:rPr>
      </w:pPr>
      <w:r w:rsidRPr="002537C6">
        <w:rPr>
          <w:rFonts w:ascii="Times New Roman" w:eastAsia="Calibri" w:hAnsi="Times New Roman" w:cs="Times New Roman"/>
        </w:rPr>
        <w:t>●</w:t>
      </w:r>
      <w:r w:rsidRPr="002537C6">
        <w:rPr>
          <w:rFonts w:ascii="Times New Roman" w:hAnsi="Times New Roman" w:cs="Times New Roman"/>
        </w:rPr>
        <w:t xml:space="preserve"> s’adapter aux risques/impacts liés aux changements climatiques en particulier les inondations </w:t>
      </w:r>
      <w:r w:rsidRPr="002537C6">
        <w:rPr>
          <w:rFonts w:ascii="Times New Roman" w:eastAsia="Calibri" w:hAnsi="Times New Roman" w:cs="Times New Roman"/>
        </w:rPr>
        <w:t>à travers un plan de drainage opérationnel.</w:t>
      </w:r>
    </w:p>
    <w:p w14:paraId="6F26F4B6" w14:textId="77777777" w:rsidR="002537C6" w:rsidRPr="002537C6" w:rsidRDefault="002537C6" w:rsidP="002537C6">
      <w:pPr>
        <w:spacing w:after="120"/>
        <w:ind w:left="706"/>
        <w:jc w:val="both"/>
        <w:rPr>
          <w:rFonts w:ascii="Times New Roman" w:eastAsia="Calibri" w:hAnsi="Times New Roman" w:cs="Times New Roman"/>
        </w:rPr>
      </w:pPr>
      <w:r w:rsidRPr="002537C6">
        <w:rPr>
          <w:rFonts w:ascii="Times New Roman" w:eastAsia="Calibri" w:hAnsi="Times New Roman" w:cs="Times New Roman"/>
        </w:rPr>
        <w:t>●améliorer l’environnement urbain par la réhabilitation ou construction des voies de circulation (décongestionnement), par le développement d’un réseau de collecte de déchets, d’assainissement (hygiène) et par la réduction de la promiscuité (</w:t>
      </w:r>
      <w:proofErr w:type="spellStart"/>
      <w:r w:rsidRPr="002537C6">
        <w:rPr>
          <w:rFonts w:ascii="Times New Roman" w:eastAsia="Calibri" w:hAnsi="Times New Roman" w:cs="Times New Roman"/>
        </w:rPr>
        <w:t>dedensification</w:t>
      </w:r>
      <w:proofErr w:type="spellEnd"/>
      <w:r w:rsidRPr="002537C6">
        <w:rPr>
          <w:rFonts w:ascii="Times New Roman" w:eastAsia="Calibri" w:hAnsi="Times New Roman" w:cs="Times New Roman"/>
        </w:rPr>
        <w:t xml:space="preserve">) ; </w:t>
      </w:r>
    </w:p>
    <w:p w14:paraId="4486E5C0" w14:textId="77777777" w:rsidR="002537C6" w:rsidRPr="002537C6" w:rsidRDefault="002537C6" w:rsidP="002537C6">
      <w:pPr>
        <w:ind w:left="708"/>
        <w:jc w:val="both"/>
        <w:rPr>
          <w:rFonts w:ascii="Times New Roman" w:eastAsia="Calibri" w:hAnsi="Times New Roman" w:cs="Times New Roman"/>
        </w:rPr>
      </w:pPr>
      <w:r w:rsidRPr="002537C6">
        <w:rPr>
          <w:rFonts w:ascii="Times New Roman" w:eastAsia="Calibri" w:hAnsi="Times New Roman" w:cs="Times New Roman"/>
        </w:rPr>
        <w:t>● offrir éventuellement des opportunités de développement d’activités économiques à l’intérieur de la zone de manière à contribuer à réduire la pauvreté des habitants.</w:t>
      </w:r>
    </w:p>
    <w:p w14:paraId="0628C581" w14:textId="77777777" w:rsidR="002537C6" w:rsidRPr="002537C6" w:rsidRDefault="002537C6" w:rsidP="002537C6">
      <w:pPr>
        <w:ind w:left="708"/>
        <w:jc w:val="both"/>
        <w:rPr>
          <w:rFonts w:ascii="Times New Roman" w:eastAsia="Calibri" w:hAnsi="Times New Roman" w:cs="Times New Roman"/>
        </w:rPr>
      </w:pPr>
      <w:r w:rsidRPr="002537C6">
        <w:rPr>
          <w:rFonts w:ascii="Times New Roman" w:eastAsia="Calibri" w:hAnsi="Times New Roman" w:cs="Times New Roman"/>
        </w:rPr>
        <w:t xml:space="preserve">● Disposer d’une base des données compilant les données foncières et socio-économiques et exploitable dans le SIG les plus courants. </w:t>
      </w:r>
    </w:p>
    <w:p w14:paraId="3E164CC7" w14:textId="6FC64519" w:rsidR="00CC4424" w:rsidRPr="00CC4424" w:rsidRDefault="00CC4424" w:rsidP="00537B32">
      <w:pPr>
        <w:jc w:val="both"/>
        <w:rPr>
          <w:rFonts w:ascii="Times New Roman" w:hAnsi="Times New Roman" w:cs="Times New Roman"/>
        </w:rPr>
      </w:pPr>
      <w:r w:rsidRPr="00CC4424">
        <w:rPr>
          <w:rFonts w:ascii="Times New Roman" w:hAnsi="Times New Roman" w:cs="Times New Roman"/>
        </w:rPr>
        <w:lastRenderedPageBreak/>
        <w:t xml:space="preserve">Les termes de références détaillés peuvent être obtenus </w:t>
      </w:r>
      <w:r w:rsidR="00382857">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L’</w:t>
      </w:r>
      <w:proofErr w:type="spellStart"/>
      <w:r w:rsidRPr="00EC7D7E">
        <w:rPr>
          <w:rFonts w:ascii="Times New Roman" w:hAnsi="Times New Roman" w:cs="Times New Roman"/>
        </w:rPr>
        <w:t>ARULoS</w:t>
      </w:r>
      <w:proofErr w:type="spellEnd"/>
      <w:r w:rsidRPr="00EC7D7E">
        <w:rPr>
          <w:rFonts w:ascii="Times New Roman" w:hAnsi="Times New Roman" w:cs="Times New Roman"/>
        </w:rPr>
        <w:t xml:space="preserve">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0340F4C7" w14:textId="78C4F52B" w:rsid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expérience d’au moins</w:t>
      </w:r>
      <w:r w:rsidR="002537C6">
        <w:rPr>
          <w:rFonts w:ascii="Times New Roman" w:hAnsi="Times New Roman" w:cs="Times New Roman"/>
        </w:rPr>
        <w:t xml:space="preserve"> dix (10) ans da</w:t>
      </w:r>
      <w:r w:rsidR="002537C6">
        <w:rPr>
          <w:rFonts w:ascii="Times New Roman" w:hAnsi="Times New Roman" w:cs="Times New Roman"/>
        </w:rPr>
        <w:t>ns les domaines</w:t>
      </w:r>
      <w:r w:rsidR="002537C6" w:rsidRPr="00302851">
        <w:rPr>
          <w:rFonts w:ascii="Times New Roman" w:hAnsi="Times New Roman" w:cs="Times New Roman"/>
        </w:rPr>
        <w:t xml:space="preserve"> </w:t>
      </w:r>
      <w:r w:rsidR="002537C6">
        <w:rPr>
          <w:rFonts w:ascii="Times New Roman" w:hAnsi="Times New Roman" w:cs="Times New Roman"/>
        </w:rPr>
        <w:t>de l’urbanisme et de l’habitat</w:t>
      </w:r>
    </w:p>
    <w:p w14:paraId="6DFB26B2" w14:textId="77777777" w:rsidR="000C6BEE" w:rsidRP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Exécution d’au</w:t>
      </w:r>
      <w:r w:rsidRPr="000C6BEE">
        <w:rPr>
          <w:rFonts w:ascii="Times New Roman" w:hAnsi="Times New Roman" w:cs="Times New Roman"/>
        </w:rPr>
        <w:t xml:space="preserve">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Il est porté à l'attention des Consultants intéressés que les dispositions sur la Section III, les paragraphes 3.14, 3.16 et 3.17 du Règlement de Passation des Marchés des Emprunteurs de la 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Les Consultants peuvent s’associer avec d’autres firmes pour renforcer leurs compétences respectives en la forme d’un groupement solidaire ou d’un accord de sous-traitant mais doivent indiquer clairement si l'association prend la forme d’un groupement et / ou d'une sous-traitance. 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788F231F"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2" w:name="_Hlk26104021"/>
      <w:r w:rsidR="00880D36">
        <w:rPr>
          <w:rFonts w:ascii="Times New Roman" w:hAnsi="Times New Roman" w:cs="Times New Roman"/>
          <w:b/>
        </w:rPr>
        <w:t xml:space="preserve">MARDI </w:t>
      </w:r>
      <w:r w:rsidR="00D73F87">
        <w:rPr>
          <w:rFonts w:ascii="Times New Roman" w:hAnsi="Times New Roman" w:cs="Times New Roman"/>
          <w:b/>
        </w:rPr>
        <w:t>2 MARS 2021</w:t>
      </w:r>
      <w:r w:rsidRPr="00E5663D">
        <w:rPr>
          <w:rFonts w:ascii="Times New Roman" w:hAnsi="Times New Roman" w:cs="Times New Roman"/>
          <w:b/>
        </w:rPr>
        <w:t xml:space="preserve"> </w:t>
      </w:r>
      <w:bookmarkEnd w:id="2"/>
      <w:r w:rsidRPr="00E5663D">
        <w:rPr>
          <w:rFonts w:ascii="Times New Roman" w:hAnsi="Times New Roman" w:cs="Times New Roman"/>
          <w:b/>
        </w:rPr>
        <w:t xml:space="preserve">à </w:t>
      </w:r>
      <w:r w:rsidR="00880D36">
        <w:rPr>
          <w:rFonts w:ascii="Times New Roman" w:hAnsi="Times New Roman" w:cs="Times New Roman"/>
          <w:b/>
        </w:rPr>
        <w:t>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D295" w14:textId="77777777" w:rsidR="005F5FAC" w:rsidRDefault="005F5FAC" w:rsidP="00BD25C6">
      <w:pPr>
        <w:spacing w:after="0" w:line="240" w:lineRule="auto"/>
      </w:pPr>
      <w:r>
        <w:separator/>
      </w:r>
    </w:p>
  </w:endnote>
  <w:endnote w:type="continuationSeparator" w:id="0">
    <w:p w14:paraId="41D183A1" w14:textId="77777777" w:rsidR="005F5FAC" w:rsidRDefault="005F5FAC"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0FE66D2C"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D73F87">
              <w:rPr>
                <w:b/>
                <w:bCs/>
                <w:noProof/>
                <w:sz w:val="20"/>
              </w:rPr>
              <w:t>2</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D73F87">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0094" w14:textId="77777777" w:rsidR="005F5FAC" w:rsidRDefault="005F5FAC" w:rsidP="00BD25C6">
      <w:pPr>
        <w:spacing w:after="0" w:line="240" w:lineRule="auto"/>
      </w:pPr>
      <w:r>
        <w:separator/>
      </w:r>
    </w:p>
  </w:footnote>
  <w:footnote w:type="continuationSeparator" w:id="0">
    <w:p w14:paraId="32C92D1D" w14:textId="77777777" w:rsidR="005F5FAC" w:rsidRDefault="005F5FAC"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8"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2"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4D7989"/>
    <w:multiLevelType w:val="hybridMultilevel"/>
    <w:tmpl w:val="7E8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555C23"/>
    <w:multiLevelType w:val="hybridMultilevel"/>
    <w:tmpl w:val="E590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1"/>
  </w:num>
  <w:num w:numId="5">
    <w:abstractNumId w:val="4"/>
  </w:num>
  <w:num w:numId="6">
    <w:abstractNumId w:val="5"/>
  </w:num>
  <w:num w:numId="7">
    <w:abstractNumId w:val="16"/>
  </w:num>
  <w:num w:numId="8">
    <w:abstractNumId w:val="0"/>
  </w:num>
  <w:num w:numId="9">
    <w:abstractNumId w:val="9"/>
  </w:num>
  <w:num w:numId="10">
    <w:abstractNumId w:val="2"/>
  </w:num>
  <w:num w:numId="11">
    <w:abstractNumId w:val="17"/>
  </w:num>
  <w:num w:numId="12">
    <w:abstractNumId w:val="13"/>
  </w:num>
  <w:num w:numId="13">
    <w:abstractNumId w:val="6"/>
  </w:num>
  <w:num w:numId="14">
    <w:abstractNumId w:val="7"/>
  </w:num>
  <w:num w:numId="15">
    <w:abstractNumId w:val="8"/>
  </w:num>
  <w:num w:numId="16">
    <w:abstractNumId w:val="3"/>
  </w:num>
  <w:num w:numId="17">
    <w:abstractNumId w:val="1"/>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51533"/>
    <w:rsid w:val="000C6BEE"/>
    <w:rsid w:val="0015300D"/>
    <w:rsid w:val="00192AD4"/>
    <w:rsid w:val="001B4FC9"/>
    <w:rsid w:val="002537C6"/>
    <w:rsid w:val="002E7E86"/>
    <w:rsid w:val="00302851"/>
    <w:rsid w:val="00315C03"/>
    <w:rsid w:val="00382857"/>
    <w:rsid w:val="003F3CB9"/>
    <w:rsid w:val="003F7723"/>
    <w:rsid w:val="0042401E"/>
    <w:rsid w:val="00537B32"/>
    <w:rsid w:val="005617DF"/>
    <w:rsid w:val="005D248B"/>
    <w:rsid w:val="005F5FAC"/>
    <w:rsid w:val="006F2123"/>
    <w:rsid w:val="00730452"/>
    <w:rsid w:val="007454F6"/>
    <w:rsid w:val="007A6CD2"/>
    <w:rsid w:val="007E5B24"/>
    <w:rsid w:val="00853666"/>
    <w:rsid w:val="00880D36"/>
    <w:rsid w:val="008C6F88"/>
    <w:rsid w:val="008F76C9"/>
    <w:rsid w:val="00925509"/>
    <w:rsid w:val="0098783C"/>
    <w:rsid w:val="009D2991"/>
    <w:rsid w:val="009D7668"/>
    <w:rsid w:val="00A90972"/>
    <w:rsid w:val="00AB5A37"/>
    <w:rsid w:val="00B42328"/>
    <w:rsid w:val="00B61285"/>
    <w:rsid w:val="00BC3DAA"/>
    <w:rsid w:val="00BD25C6"/>
    <w:rsid w:val="00C23CC1"/>
    <w:rsid w:val="00CC1096"/>
    <w:rsid w:val="00CC4424"/>
    <w:rsid w:val="00CE14E2"/>
    <w:rsid w:val="00CE3678"/>
    <w:rsid w:val="00D1773E"/>
    <w:rsid w:val="00D73F87"/>
    <w:rsid w:val="00D831DE"/>
    <w:rsid w:val="00E00071"/>
    <w:rsid w:val="00E5663D"/>
    <w:rsid w:val="00E8413C"/>
    <w:rsid w:val="00EC7D7E"/>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Mentionnonrsolue1">
    <w:name w:val="Mention non résolue1"/>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3</cp:revision>
  <dcterms:created xsi:type="dcterms:W3CDTF">2021-02-03T12:48:00Z</dcterms:created>
  <dcterms:modified xsi:type="dcterms:W3CDTF">2021-02-03T12:59:00Z</dcterms:modified>
</cp:coreProperties>
</file>